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C2" w:rsidRPr="000B3448" w:rsidRDefault="000B3448" w:rsidP="003600C2">
      <w:pPr>
        <w:pStyle w:val="Nadpis3"/>
        <w:rPr>
          <w:b/>
          <w:sz w:val="32"/>
        </w:rPr>
      </w:pPr>
      <w:bookmarkStart w:id="0" w:name="_GoBack"/>
      <w:bookmarkEnd w:id="0"/>
      <w:r w:rsidRPr="000B3448">
        <w:rPr>
          <w:b/>
          <w:sz w:val="32"/>
        </w:rPr>
        <w:t xml:space="preserve">Pakt pre základné zručnosti v SR </w:t>
      </w:r>
    </w:p>
    <w:p w:rsidR="00C60180" w:rsidRDefault="00C60180" w:rsidP="00C60180"/>
    <w:p w:rsidR="00C60180" w:rsidRPr="0026058F" w:rsidRDefault="00C60180" w:rsidP="00C60180">
      <w:pPr>
        <w:rPr>
          <w:b/>
          <w:sz w:val="24"/>
        </w:rPr>
      </w:pPr>
      <w:r w:rsidRPr="0026058F">
        <w:rPr>
          <w:b/>
          <w:sz w:val="24"/>
        </w:rPr>
        <w:t xml:space="preserve">Výzva </w:t>
      </w:r>
    </w:p>
    <w:p w:rsidR="006F48D3" w:rsidRPr="006F48D3" w:rsidRDefault="003600C2" w:rsidP="000D7A15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</w:rPr>
      </w:pPr>
      <w:r w:rsidRPr="006F48D3">
        <w:rPr>
          <w:rFonts w:asciiTheme="minorHAnsi" w:hAnsiTheme="minorHAnsi"/>
          <w:sz w:val="22"/>
        </w:rPr>
        <w:t>Základné zručnosti</w:t>
      </w:r>
      <w:r w:rsidR="000D7A15">
        <w:rPr>
          <w:rFonts w:asciiTheme="minorHAnsi" w:hAnsiTheme="minorHAnsi"/>
          <w:sz w:val="22"/>
        </w:rPr>
        <w:t xml:space="preserve">, ktoré tvoria základ čitateľskej, matematickej a digitálnej </w:t>
      </w:r>
      <w:r w:rsidRPr="006F48D3">
        <w:rPr>
          <w:rFonts w:asciiTheme="minorHAnsi" w:hAnsiTheme="minorHAnsi"/>
          <w:sz w:val="22"/>
        </w:rPr>
        <w:t>gramotnosť, predstavujú kľúčové predpoklady pre plnohodnotné zapojenie jednotlivca do spoločnosti a trhu práce</w:t>
      </w:r>
      <w:r w:rsidR="006F48D3" w:rsidRPr="006F48D3">
        <w:rPr>
          <w:rFonts w:asciiTheme="minorHAnsi" w:hAnsiTheme="minorHAnsi"/>
          <w:sz w:val="22"/>
        </w:rPr>
        <w:t>, ale aj osobnú realizáciu a uspokojivý osobný život.</w:t>
      </w:r>
      <w:r w:rsidRPr="006F48D3">
        <w:rPr>
          <w:rFonts w:asciiTheme="minorHAnsi" w:hAnsiTheme="minorHAnsi"/>
          <w:sz w:val="22"/>
        </w:rPr>
        <w:t xml:space="preserve"> </w:t>
      </w:r>
      <w:r w:rsidR="006F48D3" w:rsidRPr="006F48D3">
        <w:rPr>
          <w:rFonts w:asciiTheme="minorHAnsi" w:hAnsiTheme="minorHAnsi"/>
          <w:sz w:val="22"/>
        </w:rPr>
        <w:t xml:space="preserve">Tieto </w:t>
      </w:r>
      <w:r w:rsidRPr="006F48D3">
        <w:rPr>
          <w:rFonts w:asciiTheme="minorHAnsi" w:hAnsiTheme="minorHAnsi"/>
          <w:sz w:val="22"/>
        </w:rPr>
        <w:t xml:space="preserve">zručnosti </w:t>
      </w:r>
      <w:r w:rsidR="006F48D3" w:rsidRPr="006F48D3">
        <w:rPr>
          <w:rFonts w:asciiTheme="minorHAnsi" w:hAnsiTheme="minorHAnsi"/>
          <w:sz w:val="22"/>
        </w:rPr>
        <w:t xml:space="preserve">sú nevyhnutným predpokladom </w:t>
      </w:r>
      <w:r w:rsidRPr="006F48D3">
        <w:rPr>
          <w:rFonts w:asciiTheme="minorHAnsi" w:hAnsiTheme="minorHAnsi"/>
          <w:sz w:val="22"/>
        </w:rPr>
        <w:t xml:space="preserve">pre osobný rozvoj, sociálnu integráciu a ekonomickú konkurencieschopnosť. </w:t>
      </w:r>
    </w:p>
    <w:p w:rsidR="002525CE" w:rsidRPr="0026058F" w:rsidRDefault="006F48D3" w:rsidP="000D7A15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6F48D3">
        <w:rPr>
          <w:rFonts w:asciiTheme="minorHAnsi" w:hAnsiTheme="minorHAnsi"/>
          <w:sz w:val="22"/>
        </w:rPr>
        <w:t>Čitateľská gramotnosť zahŕňa schopnosť rozumieť a interpretovať písané informácie, čo je nevyhnutné nielen pre každodenný život, ale aj pre odborný a osobnostný rozvoj. Matematická gramotnosť</w:t>
      </w:r>
      <w:r w:rsidR="000D7A15">
        <w:rPr>
          <w:rFonts w:asciiTheme="minorHAnsi" w:hAnsiTheme="minorHAnsi"/>
          <w:sz w:val="22"/>
        </w:rPr>
        <w:t xml:space="preserve"> predstavuje </w:t>
      </w:r>
      <w:r w:rsidRPr="006F48D3">
        <w:rPr>
          <w:rFonts w:asciiTheme="minorHAnsi" w:hAnsiTheme="minorHAnsi"/>
          <w:sz w:val="22"/>
        </w:rPr>
        <w:t>schopnosť používať čísla a matematické koncepty v každodenných situáciách</w:t>
      </w:r>
      <w:r w:rsidR="000D7A15">
        <w:rPr>
          <w:rFonts w:asciiTheme="minorHAnsi" w:hAnsiTheme="minorHAnsi"/>
          <w:sz w:val="22"/>
        </w:rPr>
        <w:t xml:space="preserve"> a r</w:t>
      </w:r>
      <w:r w:rsidRPr="006F48D3">
        <w:rPr>
          <w:rFonts w:asciiTheme="minorHAnsi" w:hAnsiTheme="minorHAnsi"/>
          <w:sz w:val="22"/>
        </w:rPr>
        <w:t xml:space="preserve">iešenie problémov v technologicky vyspelom prostredí </w:t>
      </w:r>
      <w:r w:rsidR="000D7A15">
        <w:rPr>
          <w:rFonts w:asciiTheme="minorHAnsi" w:hAnsiTheme="minorHAnsi"/>
          <w:sz w:val="22"/>
        </w:rPr>
        <w:t>znamená</w:t>
      </w:r>
      <w:r w:rsidRPr="006F48D3">
        <w:rPr>
          <w:rFonts w:asciiTheme="minorHAnsi" w:hAnsiTheme="minorHAnsi"/>
          <w:sz w:val="22"/>
        </w:rPr>
        <w:t xml:space="preserve"> schopnosť používať digitálne zariadenia na získanie a posúdenie informácií, komunikovanie s inými a vykonávanie </w:t>
      </w:r>
      <w:r w:rsidRPr="0026058F">
        <w:rPr>
          <w:rFonts w:asciiTheme="minorHAnsi" w:hAnsiTheme="minorHAnsi"/>
          <w:sz w:val="22"/>
          <w:szCs w:val="22"/>
        </w:rPr>
        <w:t>praktických úloh.</w:t>
      </w:r>
    </w:p>
    <w:p w:rsidR="000D7A15" w:rsidRDefault="000D7A15" w:rsidP="000D7A15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6F48D3" w:rsidRPr="0026058F" w:rsidRDefault="006F48D3" w:rsidP="000D7A15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Dostatočná pozornosť venovaná nízkej úrovni základných zručností dospelých je dôležitá z viacerých aspektov: 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Ľudia s dostatočnou úrovňou základných zručností dokážu získavať </w:t>
      </w:r>
      <w:r w:rsidRPr="0026058F">
        <w:rPr>
          <w:rFonts w:asciiTheme="minorHAnsi" w:hAnsiTheme="minorHAnsi"/>
          <w:b/>
          <w:sz w:val="22"/>
          <w:szCs w:val="22"/>
        </w:rPr>
        <w:t>lepšie pracovné príležitosti</w:t>
      </w:r>
      <w:r w:rsidRPr="0026058F">
        <w:rPr>
          <w:rFonts w:asciiTheme="minorHAnsi" w:hAnsiTheme="minorHAnsi"/>
          <w:sz w:val="22"/>
          <w:szCs w:val="22"/>
        </w:rPr>
        <w:t>, sú konkurencieschopnejší na trhu práce. Čítanie s porozumením je nevyhnutnou súčasťou veľkej časti pracovných postupov a zamestnávatelia uprednostňujú uchádzačov, ktorí zvládajú riešiť problémy, či využívať digitálne nástroje.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>Štúdie ukazujú, že vyššia úroveň základných zručností vedie k </w:t>
      </w:r>
      <w:r w:rsidRPr="0026058F">
        <w:rPr>
          <w:rFonts w:asciiTheme="minorHAnsi" w:hAnsiTheme="minorHAnsi"/>
          <w:b/>
          <w:sz w:val="22"/>
          <w:szCs w:val="22"/>
        </w:rPr>
        <w:t>vyšším príjmom</w:t>
      </w:r>
      <w:r w:rsidRPr="0026058F">
        <w:rPr>
          <w:rFonts w:asciiTheme="minorHAnsi" w:hAnsiTheme="minorHAnsi"/>
          <w:sz w:val="22"/>
          <w:szCs w:val="22"/>
        </w:rPr>
        <w:t>, lepším kariérnym vyhliadkam a vyšším mzdám, čím sa zlepšuje kvalita života jednotlivcov.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Dostatočná úroveň základných zručností je predpokladom pre </w:t>
      </w:r>
      <w:r w:rsidRPr="0026058F">
        <w:rPr>
          <w:rFonts w:asciiTheme="minorHAnsi" w:hAnsiTheme="minorHAnsi"/>
          <w:b/>
          <w:sz w:val="22"/>
          <w:szCs w:val="22"/>
        </w:rPr>
        <w:t>ďalšie vzdelávanie</w:t>
      </w:r>
      <w:r w:rsidRPr="0026058F">
        <w:rPr>
          <w:rFonts w:asciiTheme="minorHAnsi" w:hAnsiTheme="minorHAnsi"/>
          <w:sz w:val="22"/>
          <w:szCs w:val="22"/>
        </w:rPr>
        <w:t xml:space="preserve"> a osvojenie si nových kompetencií, čo podporuje celoživotné učenie a prispôsobenie sa zmenám (v spoločnosti aj na trhu práce).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Style w:val="Siln"/>
          <w:rFonts w:asciiTheme="minorHAnsi" w:hAnsiTheme="minorHAnsi"/>
          <w:sz w:val="22"/>
          <w:szCs w:val="22"/>
        </w:rPr>
        <w:t xml:space="preserve">Zdravotná gramotnosť </w:t>
      </w:r>
      <w:r w:rsidRPr="0026058F">
        <w:rPr>
          <w:rStyle w:val="Siln"/>
          <w:rFonts w:asciiTheme="minorHAnsi" w:hAnsiTheme="minorHAnsi"/>
          <w:b w:val="0"/>
          <w:sz w:val="22"/>
          <w:szCs w:val="22"/>
        </w:rPr>
        <w:t xml:space="preserve">je súčasťou zručností pre život, ktoré dopĺňajú základné zručnosti. Umožňuje </w:t>
      </w:r>
      <w:r w:rsidRPr="0026058F">
        <w:rPr>
          <w:rFonts w:asciiTheme="minorHAnsi" w:hAnsiTheme="minorHAnsi"/>
          <w:sz w:val="22"/>
          <w:szCs w:val="22"/>
        </w:rPr>
        <w:t>lepší prístup k zdravotným informáciám, čo im umožňuje robiť informované rozhodnutia a zlepšovať kvalitu života aktívnym prístupom k svojmu fyzickému i psychickému zdraviu.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Zamestnanci s lepšími základnými zručnosťami sú efektívnejší, kreatívnejší a schopnejší riešiť komplexné úlohy. To prispieva k </w:t>
      </w:r>
      <w:r w:rsidRPr="0026058F">
        <w:rPr>
          <w:rFonts w:asciiTheme="minorHAnsi" w:hAnsiTheme="minorHAnsi"/>
          <w:b/>
          <w:sz w:val="22"/>
          <w:szCs w:val="22"/>
        </w:rPr>
        <w:t>vyššej produktivite</w:t>
      </w:r>
      <w:r w:rsidRPr="0026058F">
        <w:rPr>
          <w:rFonts w:asciiTheme="minorHAnsi" w:hAnsiTheme="minorHAnsi"/>
          <w:sz w:val="22"/>
          <w:szCs w:val="22"/>
        </w:rPr>
        <w:t xml:space="preserve"> organizácií.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Jednotlivci s dobrými základnými zručnosťami sú </w:t>
      </w:r>
      <w:r w:rsidRPr="0026058F">
        <w:rPr>
          <w:rFonts w:asciiTheme="minorHAnsi" w:hAnsiTheme="minorHAnsi"/>
          <w:b/>
          <w:sz w:val="22"/>
          <w:szCs w:val="22"/>
        </w:rPr>
        <w:t>menej často nezamestnaní</w:t>
      </w:r>
      <w:r w:rsidRPr="0026058F">
        <w:rPr>
          <w:rFonts w:asciiTheme="minorHAnsi" w:hAnsiTheme="minorHAnsi"/>
          <w:sz w:val="22"/>
          <w:szCs w:val="22"/>
        </w:rPr>
        <w:t>, čo znižuje potrebu štátnych výdavkov na podporu v nezamestnanosti a sociálnu pomoc.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Rozvoj základných zručností podporuje </w:t>
      </w:r>
      <w:r w:rsidRPr="0026058F">
        <w:rPr>
          <w:rFonts w:asciiTheme="minorHAnsi" w:hAnsiTheme="minorHAnsi"/>
          <w:b/>
          <w:sz w:val="22"/>
          <w:szCs w:val="22"/>
        </w:rPr>
        <w:t>sociálnu inklúziu</w:t>
      </w:r>
      <w:r w:rsidRPr="0026058F">
        <w:rPr>
          <w:rFonts w:asciiTheme="minorHAnsi" w:hAnsiTheme="minorHAnsi"/>
          <w:sz w:val="22"/>
          <w:szCs w:val="22"/>
        </w:rPr>
        <w:t>, umožňuje ľuďom aktívne sa podieľať na spoločenskom dianí, lepšie rozumieť politickým a kultúrnym otázkam,   efektívnejšie komunikovať a zapájať sa do života spoločnosti.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Posilnenie základných zručností pomáha marginalizovaným skupinám prekonať bariéry, čím prispieva k </w:t>
      </w:r>
      <w:r w:rsidRPr="0026058F">
        <w:rPr>
          <w:rFonts w:asciiTheme="minorHAnsi" w:hAnsiTheme="minorHAnsi"/>
          <w:b/>
          <w:sz w:val="22"/>
          <w:szCs w:val="22"/>
        </w:rPr>
        <w:t>väčšej rovnosti v spoločnosti</w:t>
      </w:r>
      <w:r w:rsidRPr="0026058F">
        <w:rPr>
          <w:rFonts w:asciiTheme="minorHAnsi" w:hAnsiTheme="minorHAnsi"/>
          <w:sz w:val="22"/>
          <w:szCs w:val="22"/>
        </w:rPr>
        <w:t>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Vyššia úroveň čitateľskej a digitálnej gramotnosťou podporuje schopnosť hodnotiť kvalitu informácií a zvyšuje </w:t>
      </w:r>
      <w:r w:rsidRPr="0026058F">
        <w:rPr>
          <w:rFonts w:asciiTheme="minorHAnsi" w:hAnsiTheme="minorHAnsi"/>
          <w:b/>
          <w:sz w:val="22"/>
          <w:szCs w:val="22"/>
        </w:rPr>
        <w:t>odolnosť voči dezinformáciám a manipuláciám</w:t>
      </w:r>
      <w:r w:rsidRPr="0026058F">
        <w:rPr>
          <w:rFonts w:asciiTheme="minorHAnsi" w:hAnsiTheme="minorHAnsi"/>
          <w:sz w:val="22"/>
          <w:szCs w:val="22"/>
        </w:rPr>
        <w:t>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S rozvojom umelej inteligencie, digitalizácie a automatizácie sú základné zručnosti nevyhnutné na </w:t>
      </w:r>
      <w:r w:rsidRPr="0026058F">
        <w:rPr>
          <w:rFonts w:asciiTheme="minorHAnsi" w:hAnsiTheme="minorHAnsi"/>
          <w:b/>
          <w:sz w:val="22"/>
          <w:szCs w:val="22"/>
        </w:rPr>
        <w:t>zvládnutie nových technológií</w:t>
      </w:r>
      <w:r w:rsidRPr="0026058F">
        <w:rPr>
          <w:rFonts w:asciiTheme="minorHAnsi" w:hAnsiTheme="minorHAnsi"/>
          <w:sz w:val="22"/>
          <w:szCs w:val="22"/>
        </w:rPr>
        <w:t>.</w:t>
      </w:r>
    </w:p>
    <w:p w:rsidR="006F48D3" w:rsidRPr="0026058F" w:rsidRDefault="006F48D3" w:rsidP="000D7A15">
      <w:pPr>
        <w:pStyle w:val="Normlnywebov"/>
        <w:numPr>
          <w:ilvl w:val="0"/>
          <w:numId w:val="16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>Základné zručnosti umožňujú lepšie pochopenie klimatických problémov a podporujú ekologicky zodpovedné správanie.</w:t>
      </w:r>
    </w:p>
    <w:p w:rsidR="000D7A15" w:rsidRDefault="000D7A15" w:rsidP="000D7A15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6F48D3" w:rsidRPr="000B3448" w:rsidRDefault="006F48D3" w:rsidP="000D7A15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0B3448">
        <w:rPr>
          <w:rFonts w:asciiTheme="minorHAnsi" w:hAnsiTheme="minorHAnsi"/>
          <w:sz w:val="22"/>
          <w:szCs w:val="22"/>
        </w:rPr>
        <w:lastRenderedPageBreak/>
        <w:t>Podľa</w:t>
      </w:r>
      <w:r w:rsidR="000B3448" w:rsidRPr="000B3448">
        <w:rPr>
          <w:rFonts w:asciiTheme="minorHAnsi" w:hAnsiTheme="minorHAnsi"/>
          <w:sz w:val="22"/>
          <w:szCs w:val="22"/>
        </w:rPr>
        <w:t xml:space="preserve"> výsledkov</w:t>
      </w:r>
      <w:r w:rsidR="000B3448"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="000D7A15" w:rsidRPr="000D7A15">
        <w:rPr>
          <w:rFonts w:asciiTheme="minorHAnsi" w:hAnsiTheme="minorHAnsi"/>
          <w:sz w:val="22"/>
          <w:szCs w:val="22"/>
        </w:rPr>
        <w:t>PIACC -</w:t>
      </w:r>
      <w:r w:rsidR="000D7A15">
        <w:rPr>
          <w:rFonts w:asciiTheme="minorHAnsi" w:hAnsiTheme="minorHAnsi"/>
          <w:b/>
          <w:sz w:val="22"/>
          <w:szCs w:val="22"/>
        </w:rPr>
        <w:t xml:space="preserve"> </w:t>
      </w:r>
      <w:r w:rsidR="000B3448" w:rsidRPr="000D7A15">
        <w:rPr>
          <w:rFonts w:asciiTheme="minorHAnsi" w:hAnsiTheme="minorHAnsi"/>
          <w:sz w:val="22"/>
          <w:szCs w:val="22"/>
        </w:rPr>
        <w:t>P</w:t>
      </w:r>
      <w:r w:rsidRPr="000B3448">
        <w:rPr>
          <w:rStyle w:val="Siln"/>
          <w:rFonts w:asciiTheme="minorHAnsi" w:hAnsiTheme="minorHAnsi"/>
          <w:b w:val="0"/>
          <w:sz w:val="22"/>
          <w:szCs w:val="22"/>
        </w:rPr>
        <w:t>rogramu medzinárodného hodnotenia kompetencií dospelých</w:t>
      </w:r>
      <w:r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Pr="000B3448">
        <w:rPr>
          <w:rFonts w:asciiTheme="minorHAnsi" w:hAnsiTheme="minorHAnsi"/>
          <w:sz w:val="22"/>
          <w:szCs w:val="22"/>
        </w:rPr>
        <w:t>(2011 – 2012)</w:t>
      </w:r>
      <w:r w:rsidRPr="000B3448">
        <w:rPr>
          <w:rFonts w:asciiTheme="minorHAnsi" w:hAnsiTheme="minorHAnsi"/>
          <w:b/>
          <w:sz w:val="22"/>
          <w:szCs w:val="22"/>
        </w:rPr>
        <w:t xml:space="preserve">  </w:t>
      </w:r>
      <w:r w:rsidRPr="000B3448">
        <w:rPr>
          <w:rFonts w:asciiTheme="minorHAnsi" w:hAnsiTheme="minorHAnsi"/>
          <w:sz w:val="22"/>
          <w:szCs w:val="22"/>
        </w:rPr>
        <w:t xml:space="preserve">približne </w:t>
      </w:r>
      <w:r w:rsidRPr="000B3448">
        <w:rPr>
          <w:rStyle w:val="Siln"/>
          <w:rFonts w:asciiTheme="minorHAnsi" w:hAnsiTheme="minorHAnsi"/>
          <w:b w:val="0"/>
          <w:sz w:val="22"/>
          <w:szCs w:val="22"/>
        </w:rPr>
        <w:t>11 % d</w:t>
      </w:r>
      <w:r w:rsidR="000D7A15">
        <w:rPr>
          <w:rStyle w:val="Siln"/>
          <w:rFonts w:asciiTheme="minorHAnsi" w:hAnsiTheme="minorHAnsi"/>
          <w:b w:val="0"/>
          <w:sz w:val="22"/>
          <w:szCs w:val="22"/>
        </w:rPr>
        <w:t>ospelých na Slovensku vykazovalo</w:t>
      </w:r>
      <w:r w:rsidRPr="000B3448">
        <w:rPr>
          <w:rStyle w:val="Siln"/>
          <w:rFonts w:asciiTheme="minorHAnsi" w:hAnsiTheme="minorHAnsi"/>
          <w:b w:val="0"/>
          <w:sz w:val="22"/>
          <w:szCs w:val="22"/>
        </w:rPr>
        <w:t xml:space="preserve"> len najnižšiu úroveň čitateľských </w:t>
      </w:r>
      <w:r w:rsidRPr="000D7A15">
        <w:rPr>
          <w:rStyle w:val="Siln"/>
          <w:rFonts w:asciiTheme="minorHAnsi" w:hAnsiTheme="minorHAnsi"/>
          <w:b w:val="0"/>
          <w:sz w:val="22"/>
          <w:szCs w:val="22"/>
        </w:rPr>
        <w:t>zručností</w:t>
      </w:r>
      <w:r w:rsidRPr="000D7A15">
        <w:rPr>
          <w:rFonts w:asciiTheme="minorHAnsi" w:hAnsiTheme="minorHAnsi"/>
          <w:sz w:val="22"/>
          <w:szCs w:val="22"/>
        </w:rPr>
        <w:t>, čo</w:t>
      </w:r>
      <w:r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Pr="000B3448">
        <w:rPr>
          <w:rFonts w:asciiTheme="minorHAnsi" w:hAnsiTheme="minorHAnsi"/>
          <w:sz w:val="22"/>
          <w:szCs w:val="22"/>
        </w:rPr>
        <w:t>znamená problémy porozumieť jednoduchým textom. Až</w:t>
      </w:r>
      <w:r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Pr="000B3448">
        <w:rPr>
          <w:rStyle w:val="Siln"/>
          <w:rFonts w:asciiTheme="minorHAnsi" w:hAnsiTheme="minorHAnsi"/>
          <w:b w:val="0"/>
          <w:sz w:val="22"/>
          <w:szCs w:val="22"/>
        </w:rPr>
        <w:t>14 % dospelých nedokázalo riešiť ani jednoduché numerické úlohy</w:t>
      </w:r>
      <w:r w:rsidRPr="000D7A15">
        <w:rPr>
          <w:rFonts w:asciiTheme="minorHAnsi" w:hAnsiTheme="minorHAnsi"/>
          <w:sz w:val="22"/>
          <w:szCs w:val="22"/>
        </w:rPr>
        <w:t>,</w:t>
      </w:r>
      <w:r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Pr="000B3448">
        <w:rPr>
          <w:rFonts w:asciiTheme="minorHAnsi" w:hAnsiTheme="minorHAnsi"/>
          <w:sz w:val="22"/>
          <w:szCs w:val="22"/>
        </w:rPr>
        <w:t>ako je výpočet zliav alebo porovnanie cien. Podľa PIAAC</w:t>
      </w:r>
      <w:r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Pr="000B3448">
        <w:rPr>
          <w:rStyle w:val="Siln"/>
          <w:rFonts w:asciiTheme="minorHAnsi" w:hAnsiTheme="minorHAnsi"/>
          <w:b w:val="0"/>
          <w:sz w:val="22"/>
          <w:szCs w:val="22"/>
        </w:rPr>
        <w:t>takmer tretina dospelých nemala žiadne základné počítačové zručnosti</w:t>
      </w:r>
      <w:r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Pr="000B3448">
        <w:rPr>
          <w:rFonts w:asciiTheme="minorHAnsi" w:hAnsiTheme="minorHAnsi"/>
          <w:sz w:val="22"/>
          <w:szCs w:val="22"/>
        </w:rPr>
        <w:t>a</w:t>
      </w:r>
      <w:r w:rsidR="000B3448" w:rsidRPr="000B3448">
        <w:rPr>
          <w:rFonts w:asciiTheme="minorHAnsi" w:hAnsiTheme="minorHAnsi"/>
          <w:sz w:val="22"/>
          <w:szCs w:val="22"/>
        </w:rPr>
        <w:t>lebo mala</w:t>
      </w:r>
      <w:r w:rsidRPr="000B3448">
        <w:rPr>
          <w:rFonts w:asciiTheme="minorHAnsi" w:hAnsiTheme="minorHAnsi"/>
          <w:sz w:val="22"/>
          <w:szCs w:val="22"/>
        </w:rPr>
        <w:t xml:space="preserve"> problém pracovať s jednoduchými digitálnymi nástrojmi.</w:t>
      </w:r>
      <w:r w:rsidRPr="000B3448">
        <w:rPr>
          <w:rStyle w:val="Odkaznapoznmkupodiarou"/>
          <w:rFonts w:asciiTheme="minorHAnsi" w:hAnsiTheme="minorHAnsi"/>
          <w:sz w:val="22"/>
          <w:szCs w:val="22"/>
        </w:rPr>
        <w:footnoteReference w:id="1"/>
      </w:r>
    </w:p>
    <w:p w:rsidR="006F48D3" w:rsidRPr="006F48D3" w:rsidRDefault="006F48D3" w:rsidP="000D7A15">
      <w:pPr>
        <w:pStyle w:val="Normlnywebov"/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6F48D3">
        <w:rPr>
          <w:rFonts w:asciiTheme="minorHAnsi" w:hAnsiTheme="minorHAnsi"/>
          <w:sz w:val="22"/>
          <w:szCs w:val="22"/>
        </w:rPr>
        <w:t xml:space="preserve">Po desiatich rokoch, výsledky druhého cyklu </w:t>
      </w:r>
      <w:r w:rsidRPr="000B3448">
        <w:rPr>
          <w:rStyle w:val="Siln"/>
          <w:rFonts w:asciiTheme="minorHAnsi" w:hAnsiTheme="minorHAnsi"/>
          <w:b w:val="0"/>
          <w:sz w:val="22"/>
          <w:szCs w:val="22"/>
        </w:rPr>
        <w:t>PIAAC</w:t>
      </w:r>
      <w:r w:rsidRPr="000B3448">
        <w:rPr>
          <w:rFonts w:asciiTheme="minorHAnsi" w:hAnsiTheme="minorHAnsi"/>
          <w:b/>
          <w:sz w:val="22"/>
          <w:szCs w:val="22"/>
        </w:rPr>
        <w:t xml:space="preserve"> </w:t>
      </w:r>
      <w:r w:rsidRPr="006F48D3">
        <w:rPr>
          <w:rFonts w:asciiTheme="minorHAnsi" w:hAnsiTheme="minorHAnsi"/>
          <w:sz w:val="22"/>
          <w:szCs w:val="22"/>
        </w:rPr>
        <w:t>zverejnené v decembri 2024 ukazujú, že Slovensko trvalo čelí významným výzvam v tejto oblasti. V porovnaní s predchádzajúcim cyklom PIAAC sa úrovne čitateľskej a matematickej gramotnosti dospel</w:t>
      </w:r>
      <w:r w:rsidR="000B3448">
        <w:rPr>
          <w:rFonts w:asciiTheme="minorHAnsi" w:hAnsiTheme="minorHAnsi"/>
          <w:sz w:val="22"/>
          <w:szCs w:val="22"/>
        </w:rPr>
        <w:t>ých na Slovensku výrazne znížili</w:t>
      </w:r>
      <w:r w:rsidRPr="006F48D3">
        <w:rPr>
          <w:rFonts w:asciiTheme="minorHAnsi" w:hAnsiTheme="minorHAnsi"/>
          <w:sz w:val="22"/>
          <w:szCs w:val="22"/>
        </w:rPr>
        <w:t>. Ako uviedli zástupcovia ministerstva školstva pri prezentácii výsledkov, „</w:t>
      </w:r>
      <w:r w:rsidRPr="006F48D3">
        <w:rPr>
          <w:rFonts w:asciiTheme="minorHAnsi" w:hAnsiTheme="minorHAnsi"/>
          <w:b/>
          <w:sz w:val="22"/>
          <w:szCs w:val="22"/>
        </w:rPr>
        <w:t>štvrtina dospelých má čitateľskú gramotnosť na úrovni desaťročného dieťaťa</w:t>
      </w:r>
      <w:r w:rsidRPr="006F48D3">
        <w:rPr>
          <w:rFonts w:asciiTheme="minorHAnsi" w:hAnsiTheme="minorHAnsi"/>
          <w:sz w:val="22"/>
          <w:szCs w:val="22"/>
        </w:rPr>
        <w:t>“, čo poukazuje na alarmujúci stav základných zručností v populácii.</w:t>
      </w:r>
    </w:p>
    <w:p w:rsidR="006F48D3" w:rsidRPr="006F48D3" w:rsidRDefault="006F48D3" w:rsidP="000D7A15">
      <w:pPr>
        <w:spacing w:after="0" w:line="264" w:lineRule="auto"/>
        <w:contextualSpacing/>
        <w:rPr>
          <w:rFonts w:eastAsia="Times New Roman" w:cs="Times New Roman"/>
          <w:b/>
          <w:bCs/>
          <w:lang w:eastAsia="sk-SK"/>
        </w:rPr>
      </w:pPr>
      <w:r w:rsidRPr="006F48D3">
        <w:rPr>
          <w:rFonts w:eastAsia="Times New Roman" w:cs="Times New Roman"/>
          <w:b/>
          <w:bCs/>
          <w:lang w:eastAsia="sk-SK"/>
        </w:rPr>
        <w:t>Hlavné zistenia správy:</w:t>
      </w:r>
    </w:p>
    <w:p w:rsidR="000B3448" w:rsidRDefault="006F48D3" w:rsidP="000D7A15">
      <w:pPr>
        <w:pStyle w:val="Odsekzoznamu"/>
        <w:numPr>
          <w:ilvl w:val="0"/>
          <w:numId w:val="4"/>
        </w:numPr>
        <w:spacing w:after="0" w:line="264" w:lineRule="auto"/>
        <w:jc w:val="both"/>
        <w:rPr>
          <w:rFonts w:eastAsia="Times New Roman" w:cs="Times New Roman"/>
          <w:lang w:eastAsia="sk-SK"/>
        </w:rPr>
      </w:pPr>
      <w:r w:rsidRPr="000B3448">
        <w:rPr>
          <w:rFonts w:eastAsia="Times New Roman" w:cs="Times New Roman"/>
          <w:lang w:eastAsia="sk-SK"/>
        </w:rPr>
        <w:t xml:space="preserve">Slovensko sa umiestnilo pod priemerom OECD aj v čitateľskej gramotnosti, aj v adaptívnom riešení problémov (APS), pričom v matematickej gramotnosti (MAT) bolo na úrovni priemeru OECD. </w:t>
      </w:r>
    </w:p>
    <w:p w:rsidR="006F48D3" w:rsidRPr="000B3448" w:rsidRDefault="006F48D3" w:rsidP="000D7A15">
      <w:pPr>
        <w:pStyle w:val="Odsekzoznamu"/>
        <w:numPr>
          <w:ilvl w:val="0"/>
          <w:numId w:val="4"/>
        </w:numPr>
        <w:spacing w:after="0" w:line="264" w:lineRule="auto"/>
        <w:jc w:val="both"/>
        <w:rPr>
          <w:rFonts w:eastAsia="Times New Roman" w:cs="Times New Roman"/>
          <w:lang w:eastAsia="sk-SK"/>
        </w:rPr>
      </w:pPr>
      <w:r w:rsidRPr="000B3448">
        <w:rPr>
          <w:rFonts w:eastAsia="Times New Roman" w:cs="Times New Roman"/>
          <w:lang w:eastAsia="sk-SK"/>
        </w:rPr>
        <w:t xml:space="preserve">V dekáde medzi PIAAC 1 a PIAAC 2 skóre Slovenska významne </w:t>
      </w:r>
      <w:r w:rsidRPr="000B3448">
        <w:rPr>
          <w:rFonts w:eastAsia="Times New Roman" w:cs="Times New Roman"/>
          <w:b/>
          <w:bCs/>
          <w:lang w:eastAsia="sk-SK"/>
        </w:rPr>
        <w:t xml:space="preserve">kleslo v čitateľskej gramotnosti </w:t>
      </w:r>
      <w:r w:rsidRPr="000B3448">
        <w:rPr>
          <w:rFonts w:eastAsia="Times New Roman" w:cs="Times New Roman"/>
          <w:lang w:eastAsia="sk-SK"/>
        </w:rPr>
        <w:t xml:space="preserve">(o 19 bodov) </w:t>
      </w:r>
      <w:r w:rsidRPr="000B3448">
        <w:rPr>
          <w:rFonts w:eastAsia="Times New Roman" w:cs="Times New Roman"/>
          <w:b/>
          <w:bCs/>
          <w:lang w:eastAsia="sk-SK"/>
        </w:rPr>
        <w:t xml:space="preserve">aj v matematickej gramotnosti </w:t>
      </w:r>
      <w:r w:rsidRPr="000B3448">
        <w:rPr>
          <w:rFonts w:eastAsia="Times New Roman" w:cs="Times New Roman"/>
          <w:lang w:eastAsia="sk-SK"/>
        </w:rPr>
        <w:t xml:space="preserve">(o 15 bodov. Dosiahnutým skóre sme sa zaradili na strednú kognitívnu úroveň v čitateľskej gramotnosti a v matematickej gramotnosti, keďže až tri štvrtiny dospelých sa umiestnili na 2. a 3. úrovni (z piatich). </w:t>
      </w:r>
      <w:r w:rsidRPr="000B3448">
        <w:rPr>
          <w:rFonts w:eastAsia="Times New Roman" w:cs="Times New Roman"/>
          <w:b/>
          <w:bCs/>
          <w:lang w:eastAsia="sk-SK"/>
        </w:rPr>
        <w:t>Problémom je veľmi nízky podiel dospelých s vysokou (4. a 5.) úrovňou: v čitateľskej gramotnosti iba 3 % (OECD 12 %), v matematickej gramotnosti 7 % (OECD 14 %) a v APS 1 % (OECD 5 %).</w:t>
      </w:r>
    </w:p>
    <w:p w:rsidR="006F48D3" w:rsidRPr="006F48D3" w:rsidRDefault="006F48D3" w:rsidP="000D7A15">
      <w:pPr>
        <w:numPr>
          <w:ilvl w:val="0"/>
          <w:numId w:val="4"/>
        </w:numPr>
        <w:spacing w:after="0" w:line="264" w:lineRule="auto"/>
        <w:contextualSpacing/>
        <w:jc w:val="both"/>
        <w:rPr>
          <w:rFonts w:eastAsia="Times New Roman" w:cs="Times New Roman"/>
          <w:lang w:eastAsia="sk-SK"/>
        </w:rPr>
      </w:pPr>
      <w:r w:rsidRPr="006F48D3">
        <w:rPr>
          <w:rFonts w:eastAsia="Times New Roman" w:cs="Times New Roman"/>
          <w:lang w:eastAsia="sk-SK"/>
        </w:rPr>
        <w:t xml:space="preserve">Analýzy podľa veku ukázali, že vo všetkých kognitívnych doménach bolo priemerné skóre OECD aj väčšiny krajín najnižšie u najstarších (55 – 65 ročných), a najvyššie u najmladších (16 – 24 rokov) a mladých dospelých (25 – 34 rokov). </w:t>
      </w:r>
      <w:r w:rsidRPr="006F48D3">
        <w:rPr>
          <w:rFonts w:eastAsia="Times New Roman" w:cs="Times New Roman"/>
          <w:bCs/>
          <w:lang w:eastAsia="sk-SK"/>
        </w:rPr>
        <w:t>Na Slovensku to dopadlo inak –</w:t>
      </w:r>
      <w:r w:rsidRPr="006F48D3">
        <w:rPr>
          <w:rFonts w:eastAsia="Times New Roman" w:cs="Times New Roman"/>
          <w:b/>
          <w:bCs/>
          <w:lang w:eastAsia="sk-SK"/>
        </w:rPr>
        <w:t xml:space="preserve"> najnižšie skóre mali najstarší a mladí a najvyššie skóre mali ľudia v strednom veku (35 – 54 rokov), ako aj v najmladšom veku. </w:t>
      </w:r>
    </w:p>
    <w:p w:rsidR="006F48D3" w:rsidRPr="006F48D3" w:rsidRDefault="006F48D3" w:rsidP="000D7A15">
      <w:pPr>
        <w:numPr>
          <w:ilvl w:val="0"/>
          <w:numId w:val="4"/>
        </w:numPr>
        <w:spacing w:after="0" w:line="264" w:lineRule="auto"/>
        <w:contextualSpacing/>
        <w:jc w:val="both"/>
        <w:rPr>
          <w:rFonts w:eastAsia="Times New Roman" w:cs="Times New Roman"/>
          <w:lang w:eastAsia="sk-SK"/>
        </w:rPr>
      </w:pPr>
      <w:r w:rsidRPr="006F48D3">
        <w:rPr>
          <w:rFonts w:eastAsia="Times New Roman" w:cs="Times New Roman"/>
          <w:lang w:eastAsia="sk-SK"/>
        </w:rPr>
        <w:t xml:space="preserve">Na Slovensku v 2. cykle oproti 1. cyklu </w:t>
      </w:r>
      <w:r w:rsidRPr="006F48D3">
        <w:rPr>
          <w:rFonts w:eastAsia="Times New Roman" w:cs="Times New Roman"/>
          <w:b/>
          <w:bCs/>
          <w:lang w:eastAsia="sk-SK"/>
        </w:rPr>
        <w:t>významne</w:t>
      </w:r>
      <w:r w:rsidRPr="006F48D3">
        <w:rPr>
          <w:rFonts w:eastAsia="Times New Roman" w:cs="Times New Roman"/>
          <w:lang w:eastAsia="sk-SK"/>
        </w:rPr>
        <w:t xml:space="preserve"> kleslo skóre v oboch doménach (LIT a MAT) vo všetkých vekových kategóriách, pričom </w:t>
      </w:r>
      <w:r w:rsidRPr="006F48D3">
        <w:rPr>
          <w:rFonts w:eastAsia="Times New Roman" w:cs="Times New Roman"/>
          <w:b/>
          <w:bCs/>
          <w:lang w:eastAsia="sk-SK"/>
        </w:rPr>
        <w:t>najväčší pokles</w:t>
      </w:r>
      <w:r w:rsidRPr="006F48D3">
        <w:rPr>
          <w:rFonts w:eastAsia="Times New Roman" w:cs="Times New Roman"/>
          <w:lang w:eastAsia="sk-SK"/>
        </w:rPr>
        <w:t>, viac ako 20 bodov, bol u mladých a najmladších, kde sa to neočakávalo.</w:t>
      </w:r>
      <w:r w:rsidRPr="006F48D3">
        <w:rPr>
          <w:rStyle w:val="Odkaznapoznmkupodiarou"/>
          <w:rFonts w:eastAsia="Times New Roman" w:cs="Times New Roman"/>
          <w:lang w:eastAsia="sk-SK"/>
        </w:rPr>
        <w:footnoteReference w:id="2"/>
      </w:r>
    </w:p>
    <w:p w:rsidR="000D7A15" w:rsidRDefault="000D7A15" w:rsidP="000D7A15">
      <w:pPr>
        <w:spacing w:after="0" w:line="264" w:lineRule="auto"/>
        <w:ind w:left="360"/>
        <w:contextualSpacing/>
        <w:rPr>
          <w:rFonts w:eastAsia="Times New Roman" w:cs="Times New Roman"/>
          <w:b/>
          <w:sz w:val="24"/>
          <w:lang w:eastAsia="sk-SK"/>
        </w:rPr>
      </w:pPr>
    </w:p>
    <w:p w:rsidR="0026058F" w:rsidRDefault="0026058F" w:rsidP="000D7A15">
      <w:pPr>
        <w:spacing w:after="0" w:line="264" w:lineRule="auto"/>
        <w:ind w:left="360"/>
        <w:contextualSpacing/>
        <w:rPr>
          <w:rFonts w:eastAsia="Times New Roman" w:cs="Times New Roman"/>
          <w:b/>
          <w:sz w:val="24"/>
          <w:lang w:eastAsia="sk-SK"/>
        </w:rPr>
      </w:pPr>
      <w:r w:rsidRPr="0026058F">
        <w:rPr>
          <w:rFonts w:eastAsia="Times New Roman" w:cs="Times New Roman"/>
          <w:b/>
          <w:sz w:val="24"/>
          <w:lang w:eastAsia="sk-SK"/>
        </w:rPr>
        <w:t xml:space="preserve">Cieľ </w:t>
      </w:r>
    </w:p>
    <w:p w:rsidR="000D7A15" w:rsidRPr="0026058F" w:rsidRDefault="000D7A15" w:rsidP="000D7A15">
      <w:pPr>
        <w:spacing w:after="0" w:line="264" w:lineRule="auto"/>
        <w:ind w:left="360"/>
        <w:contextualSpacing/>
        <w:rPr>
          <w:rFonts w:eastAsia="Times New Roman" w:cs="Times New Roman"/>
          <w:b/>
          <w:sz w:val="24"/>
          <w:lang w:eastAsia="sk-SK"/>
        </w:rPr>
      </w:pPr>
    </w:p>
    <w:p w:rsidR="006F48D3" w:rsidRPr="0026058F" w:rsidRDefault="006F48D3" w:rsidP="000D7A15">
      <w:pPr>
        <w:spacing w:after="0" w:line="264" w:lineRule="auto"/>
        <w:ind w:left="360"/>
        <w:contextualSpacing/>
        <w:jc w:val="both"/>
      </w:pPr>
      <w:r w:rsidRPr="006F48D3">
        <w:rPr>
          <w:rFonts w:eastAsia="Times New Roman" w:cs="Times New Roman"/>
          <w:lang w:eastAsia="sk-SK"/>
        </w:rPr>
        <w:t xml:space="preserve">Výsledky správy PIAAC 2024 poukazujú na naliehavú potrebu dôkladnej analýzy vzdelávacieho systému v kontexte výsledkov tohto merania a prijatia opatrení zameraných na zlepšenie </w:t>
      </w:r>
      <w:r w:rsidRPr="0026058F">
        <w:rPr>
          <w:rFonts w:eastAsia="Times New Roman" w:cs="Times New Roman"/>
          <w:lang w:eastAsia="sk-SK"/>
        </w:rPr>
        <w:t xml:space="preserve">základných zručností dospelých, ktoré by mali obsahovať: </w:t>
      </w:r>
    </w:p>
    <w:p w:rsidR="006F48D3" w:rsidRPr="0026058F" w:rsidRDefault="006F48D3" w:rsidP="000D7A15">
      <w:pPr>
        <w:pStyle w:val="Normlnywebov"/>
        <w:numPr>
          <w:ilvl w:val="0"/>
          <w:numId w:val="9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Rozvoj základných zručností musí byť záujmom štátu a celej spoločnosti ako investícia s dobre nastaveným systémom intervencií podporujúcich najzraniteľnejšie skupiny obyvateľov alebo jednotlivcov. </w:t>
      </w:r>
    </w:p>
    <w:p w:rsidR="006F48D3" w:rsidRPr="0026058F" w:rsidRDefault="006F48D3" w:rsidP="000D7A15">
      <w:pPr>
        <w:pStyle w:val="Normlnywebov"/>
        <w:numPr>
          <w:ilvl w:val="0"/>
          <w:numId w:val="9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Prístup k rozvoju základných zručností musí byť komplexný, so zapojením najširšieho spektra stakeholderov, vrátane mobilizácie tvorcov politík na rôznych úrovniach riadenia vzdelávania dospelých. </w:t>
      </w:r>
    </w:p>
    <w:p w:rsidR="006F48D3" w:rsidRPr="0026058F" w:rsidRDefault="006F48D3" w:rsidP="000D7A15">
      <w:pPr>
        <w:pStyle w:val="Normlnywebov"/>
        <w:numPr>
          <w:ilvl w:val="0"/>
          <w:numId w:val="9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Dospelí učiaci sa a ich potreby musia byť v centre najrôznejších aktivít podporujúcich rozvoj základných zručností. </w:t>
      </w:r>
    </w:p>
    <w:p w:rsidR="006F48D3" w:rsidRPr="0026058F" w:rsidRDefault="006F48D3" w:rsidP="000D7A15">
      <w:pPr>
        <w:pStyle w:val="Normlnywebov"/>
        <w:numPr>
          <w:ilvl w:val="0"/>
          <w:numId w:val="9"/>
        </w:numPr>
        <w:spacing w:before="0" w:beforeAutospacing="0" w:after="0" w:afterAutospacing="0" w:line="264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26058F">
        <w:rPr>
          <w:rFonts w:asciiTheme="minorHAnsi" w:hAnsiTheme="minorHAnsi"/>
          <w:sz w:val="22"/>
          <w:szCs w:val="22"/>
        </w:rPr>
        <w:t xml:space="preserve">Rozvoj základných zručností musí byť spojený s osvetou a odstraňovaním stigmatizácie, účinnými finančnými nástrojmi na podporu učiacich sa (aj individuálnych) a organizácií, ktoré v oblasti rozvoja základných zručností pôsobia. </w:t>
      </w:r>
    </w:p>
    <w:p w:rsidR="007416FA" w:rsidRPr="007416FA" w:rsidRDefault="007416FA" w:rsidP="000D7A15">
      <w:pPr>
        <w:shd w:val="clear" w:color="auto" w:fill="FFFFFF" w:themeFill="background1"/>
        <w:spacing w:after="0" w:line="264" w:lineRule="auto"/>
        <w:contextualSpacing/>
        <w:rPr>
          <w:b/>
        </w:rPr>
      </w:pPr>
      <w:r w:rsidRPr="007416FA">
        <w:rPr>
          <w:b/>
        </w:rPr>
        <w:lastRenderedPageBreak/>
        <w:t>Návrh</w:t>
      </w:r>
    </w:p>
    <w:p w:rsidR="000D7A15" w:rsidRDefault="000D7A15" w:rsidP="000D7A15">
      <w:pPr>
        <w:shd w:val="clear" w:color="auto" w:fill="FFFFFF" w:themeFill="background1"/>
        <w:spacing w:after="0" w:line="264" w:lineRule="auto"/>
        <w:contextualSpacing/>
        <w:jc w:val="both"/>
      </w:pPr>
    </w:p>
    <w:p w:rsidR="000B3448" w:rsidRDefault="000D7A15" w:rsidP="000D7A15">
      <w:pPr>
        <w:shd w:val="clear" w:color="auto" w:fill="FFFFFF" w:themeFill="background1"/>
        <w:spacing w:after="0" w:line="264" w:lineRule="auto"/>
        <w:contextualSpacing/>
        <w:jc w:val="both"/>
      </w:pPr>
      <w:r>
        <w:t>Pakt pre základné zručnosti v SR, ako n</w:t>
      </w:r>
      <w:r w:rsidR="00970739">
        <w:t xml:space="preserve">árodné partnerstvo v oblasti </w:t>
      </w:r>
      <w:r>
        <w:t>podpory</w:t>
      </w:r>
      <w:r w:rsidR="00970739">
        <w:t xml:space="preserve"> základných zručností deklaruje svoj záujem prispieť k</w:t>
      </w:r>
      <w:r w:rsidR="000B3448">
        <w:t xml:space="preserve">: </w:t>
      </w:r>
    </w:p>
    <w:p w:rsidR="000B3448" w:rsidRPr="000B3448" w:rsidRDefault="00970739" w:rsidP="000D7A15">
      <w:pPr>
        <w:pStyle w:val="Odsekzoznamu"/>
        <w:numPr>
          <w:ilvl w:val="0"/>
          <w:numId w:val="12"/>
        </w:numPr>
        <w:shd w:val="clear" w:color="auto" w:fill="FFFFFF" w:themeFill="background1"/>
        <w:spacing w:after="0" w:line="264" w:lineRule="auto"/>
        <w:jc w:val="both"/>
        <w:rPr>
          <w:rFonts w:ascii="Arial" w:eastAsia="Times New Roman" w:hAnsi="Arial" w:cs="Arial"/>
          <w:color w:val="26324B"/>
          <w:sz w:val="24"/>
          <w:szCs w:val="24"/>
          <w:lang w:eastAsia="sk-SK"/>
        </w:rPr>
      </w:pPr>
      <w:r>
        <w:t xml:space="preserve">napĺňaniu </w:t>
      </w:r>
      <w:r w:rsidR="000B3448">
        <w:t xml:space="preserve"> Európskeho piliera sociálnych práv, v rámci ktorého sa Európska únia zaviazala k </w:t>
      </w:r>
      <w:r w:rsidR="002A2A34">
        <w:t>dosiahnutiu</w:t>
      </w:r>
      <w:r w:rsidR="000B3448">
        <w:t xml:space="preserve"> cieľa, aby sa najmenej 60 % dospelých každý rok zapojilo do nejakej formy vzdelávania, </w:t>
      </w:r>
    </w:p>
    <w:p w:rsidR="000B3448" w:rsidRDefault="000B3448" w:rsidP="000D7A15">
      <w:pPr>
        <w:pStyle w:val="Odsekzoznamu"/>
        <w:numPr>
          <w:ilvl w:val="0"/>
          <w:numId w:val="12"/>
        </w:numPr>
        <w:shd w:val="clear" w:color="auto" w:fill="FFFFFF" w:themeFill="background1"/>
        <w:spacing w:after="0" w:line="264" w:lineRule="auto"/>
        <w:jc w:val="both"/>
      </w:pPr>
      <w:r>
        <w:t>napĺňaniu záverov Rady o pl</w:t>
      </w:r>
      <w:r w:rsidR="000D7A15">
        <w:t xml:space="preserve">není odporúčania Rady s názvom </w:t>
      </w:r>
      <w:r>
        <w:t>Cesty zvyšovania úrovne zručností: nové príležitosti pre dospelých, ktoré vyzýva členské štáty, aby „presadzovali partnerstvá zamerané na komplexný prístup so zapojením príslušných aktérov vrátane sociálnych partnerov z rôznych oblastí politiky (sociálne veci, zamestnanosť, vzdelávanie a odborná príprava) s cieľom integrovať poskytovanie základných zručností.“</w:t>
      </w:r>
      <w:r>
        <w:rPr>
          <w:rStyle w:val="Odkaznapoznmkupodiarou"/>
        </w:rPr>
        <w:footnoteReference w:id="3"/>
      </w:r>
      <w:r>
        <w:t xml:space="preserve"> </w:t>
      </w:r>
    </w:p>
    <w:p w:rsidR="000D7A15" w:rsidRDefault="000D7A15" w:rsidP="000D7A15">
      <w:pPr>
        <w:spacing w:after="0" w:line="264" w:lineRule="auto"/>
        <w:contextualSpacing/>
        <w:jc w:val="both"/>
      </w:pPr>
    </w:p>
    <w:p w:rsidR="007416FA" w:rsidRDefault="007416FA" w:rsidP="000D7A15">
      <w:pPr>
        <w:spacing w:after="0" w:line="264" w:lineRule="auto"/>
        <w:contextualSpacing/>
        <w:jc w:val="both"/>
      </w:pPr>
      <w:r>
        <w:t xml:space="preserve">Partnerstvo sa zaväzuje vytvoriť </w:t>
      </w:r>
      <w:r w:rsidRPr="002A2A34">
        <w:rPr>
          <w:b/>
        </w:rPr>
        <w:t>platformu spolupráce</w:t>
      </w:r>
      <w:r>
        <w:t xml:space="preserve"> aktérov pôsobiacich v oblasti rozvoja základných zručností s cieľom vytvoriť </w:t>
      </w:r>
      <w:r w:rsidR="00970739">
        <w:t xml:space="preserve">možnosti pre diskusiu, spoluprácu a advokáciu potrieb v oblasti základných zručností na Slovensku. </w:t>
      </w:r>
    </w:p>
    <w:p w:rsidR="000D7A15" w:rsidRDefault="000D7A15" w:rsidP="000D7A15">
      <w:pPr>
        <w:spacing w:after="0" w:line="264" w:lineRule="auto"/>
        <w:contextualSpacing/>
        <w:jc w:val="both"/>
      </w:pPr>
    </w:p>
    <w:p w:rsidR="00880CDF" w:rsidRDefault="007416FA" w:rsidP="000D7A15">
      <w:pPr>
        <w:spacing w:after="0" w:line="264" w:lineRule="auto"/>
        <w:contextualSpacing/>
        <w:jc w:val="both"/>
      </w:pPr>
      <w:r>
        <w:t xml:space="preserve">Partnerstvo </w:t>
      </w:r>
      <w:r w:rsidR="00970739">
        <w:t>prostredníctvom svojich aktivít bude rozvíjať a upevňovať koncept základných zručností, jeho chápanie a</w:t>
      </w:r>
      <w:r w:rsidR="00880CDF">
        <w:t xml:space="preserve"> budovať </w:t>
      </w:r>
      <w:r w:rsidR="00880CDF" w:rsidRPr="00880CDF">
        <w:rPr>
          <w:b/>
        </w:rPr>
        <w:t>pov</w:t>
      </w:r>
      <w:r w:rsidR="00880CDF">
        <w:rPr>
          <w:b/>
        </w:rPr>
        <w:t xml:space="preserve">edomie o potrebách v tejto oblasti u </w:t>
      </w:r>
      <w:r w:rsidR="00880CDF" w:rsidRPr="00C11F1B">
        <w:t xml:space="preserve">tvorcov politík, </w:t>
      </w:r>
      <w:r w:rsidR="00880CDF">
        <w:t xml:space="preserve">inštitúcií na národnej, regionálnej a miestnej úrovni, </w:t>
      </w:r>
      <w:r w:rsidR="00880CDF" w:rsidRPr="00C11F1B">
        <w:t>vzdelávac</w:t>
      </w:r>
      <w:r w:rsidR="00880CDF">
        <w:t xml:space="preserve">ích inštitúcií, </w:t>
      </w:r>
      <w:r w:rsidR="00880CDF" w:rsidRPr="00C11F1B">
        <w:t>zamestnávate</w:t>
      </w:r>
      <w:r w:rsidR="00880CDF">
        <w:t>ľov, učiacich sa a širokej verejnosti.</w:t>
      </w:r>
    </w:p>
    <w:p w:rsidR="000D7A15" w:rsidRDefault="000D7A15" w:rsidP="000D7A15">
      <w:pPr>
        <w:spacing w:after="0" w:line="264" w:lineRule="auto"/>
        <w:contextualSpacing/>
        <w:jc w:val="both"/>
      </w:pPr>
    </w:p>
    <w:p w:rsidR="002A2A34" w:rsidRDefault="007416FA" w:rsidP="000D7A15">
      <w:pPr>
        <w:spacing w:after="0" w:line="264" w:lineRule="auto"/>
        <w:contextualSpacing/>
        <w:jc w:val="both"/>
      </w:pPr>
      <w:r>
        <w:t xml:space="preserve">Partnerstvo sa zaväzuje </w:t>
      </w:r>
      <w:r w:rsidR="002A2A34">
        <w:t xml:space="preserve">podporovať </w:t>
      </w:r>
      <w:r w:rsidR="002A2A34" w:rsidRPr="002A2A34">
        <w:rPr>
          <w:b/>
        </w:rPr>
        <w:t>informovanosť</w:t>
      </w:r>
      <w:r w:rsidR="002A2A34">
        <w:t xml:space="preserve"> zainteresovaných aktérov a verejnosti o príležitostiach rozvoja základných zručností a zvyšovať tak jeho dostupnosť a kvalitu. </w:t>
      </w:r>
    </w:p>
    <w:p w:rsidR="000D7A15" w:rsidRDefault="000D7A15" w:rsidP="000D7A15">
      <w:pPr>
        <w:spacing w:after="0" w:line="264" w:lineRule="auto"/>
        <w:contextualSpacing/>
        <w:jc w:val="both"/>
      </w:pPr>
    </w:p>
    <w:p w:rsidR="00880CDF" w:rsidRDefault="007416FA" w:rsidP="000D7A15">
      <w:pPr>
        <w:spacing w:after="0" w:line="264" w:lineRule="auto"/>
        <w:contextualSpacing/>
        <w:jc w:val="both"/>
      </w:pPr>
      <w:r>
        <w:t xml:space="preserve">Partnerstvo sa zaväzuje </w:t>
      </w:r>
      <w:r w:rsidR="00880CDF">
        <w:t xml:space="preserve">prispievať </w:t>
      </w:r>
      <w:r w:rsidR="00880CDF" w:rsidRPr="002A2A34">
        <w:rPr>
          <w:b/>
        </w:rPr>
        <w:t>k výmene</w:t>
      </w:r>
      <w:r w:rsidR="00880CDF">
        <w:t xml:space="preserve"> poznatkov, osvedčených postupov a dobrej praxe  v oblasti základných zručností s cieľom budovania kapacít, vzájomnej informovanosti a vzájomného učenia sa.</w:t>
      </w:r>
    </w:p>
    <w:p w:rsidR="000D7A15" w:rsidRDefault="000D7A15" w:rsidP="000D7A15">
      <w:pPr>
        <w:spacing w:after="0" w:line="264" w:lineRule="auto"/>
        <w:contextualSpacing/>
        <w:jc w:val="both"/>
      </w:pPr>
    </w:p>
    <w:p w:rsidR="002560F0" w:rsidRPr="002A2A34" w:rsidRDefault="002560F0" w:rsidP="000D7A15">
      <w:pPr>
        <w:spacing w:after="0" w:line="264" w:lineRule="auto"/>
        <w:contextualSpacing/>
        <w:rPr>
          <w:b/>
        </w:rPr>
      </w:pPr>
      <w:r w:rsidRPr="002A2A34">
        <w:rPr>
          <w:b/>
        </w:rPr>
        <w:t xml:space="preserve">Aktivity 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1"/>
        <w:gridCol w:w="1843"/>
        <w:gridCol w:w="850"/>
        <w:gridCol w:w="1838"/>
      </w:tblGrid>
      <w:tr w:rsidR="005E0601" w:rsidRPr="002A2A34" w:rsidTr="005E0601">
        <w:trPr>
          <w:trHeight w:val="5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rPr>
                <w:bCs/>
              </w:rPr>
              <w:t>Aktivita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Indikátor 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KPI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Časový rámec </w:t>
            </w:r>
          </w:p>
        </w:tc>
      </w:tr>
      <w:tr w:rsidR="005E0601" w:rsidRPr="002A2A34" w:rsidTr="005E0601">
        <w:trPr>
          <w:trHeight w:val="592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rPr>
                <w:b/>
                <w:bCs/>
              </w:rPr>
              <w:t>Vytvorenie databázy poskytovateľov ZZ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Počet organizácií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  <w:jc w:val="center"/>
            </w:pPr>
            <w:r>
              <w:t>5</w:t>
            </w:r>
            <w:r w:rsidRPr="002A2A34">
              <w:t>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Do konca 2025</w:t>
            </w:r>
          </w:p>
        </w:tc>
      </w:tr>
      <w:tr w:rsidR="005E0601" w:rsidRPr="002A2A34" w:rsidTr="005E0601">
        <w:trPr>
          <w:trHeight w:val="7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rPr>
                <w:b/>
                <w:bCs/>
              </w:rPr>
              <w:t>Identifikované príklady dobrej praxe v SR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Počet príkladov dobrej praxe 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  <w:jc w:val="center"/>
            </w:pPr>
            <w:r w:rsidRPr="002A2A34">
              <w:t>2</w:t>
            </w:r>
            <w:r>
              <w:t>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>
              <w:t xml:space="preserve">Priebežne </w:t>
            </w:r>
          </w:p>
        </w:tc>
      </w:tr>
      <w:tr w:rsidR="005E0601" w:rsidRPr="002A2A34" w:rsidTr="005E0601">
        <w:trPr>
          <w:trHeight w:val="87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rPr>
                <w:b/>
                <w:bCs/>
              </w:rPr>
              <w:t>Memorandum o základných zručnostiach 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>
              <w:t>D</w:t>
            </w:r>
            <w:r w:rsidRPr="002A2A34">
              <w:t>okument 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  <w:jc w:val="center"/>
            </w:pPr>
            <w:r w:rsidRPr="002A2A34">
              <w:t>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Do konca 2025</w:t>
            </w:r>
          </w:p>
        </w:tc>
      </w:tr>
      <w:tr w:rsidR="005E0601" w:rsidRPr="002A2A34" w:rsidTr="005E0601">
        <w:trPr>
          <w:trHeight w:val="633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rPr>
                <w:b/>
                <w:bCs/>
                <w:lang w:val="pl-PL"/>
              </w:rPr>
              <w:t>Národná konferencia platformy paktu zručností 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Frekvencia 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  <w:jc w:val="center"/>
            </w:pPr>
            <w:r w:rsidRPr="002A2A34">
              <w:t>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Ročne</w:t>
            </w:r>
          </w:p>
        </w:tc>
      </w:tr>
      <w:tr w:rsidR="005E0601" w:rsidRPr="002A2A34" w:rsidTr="005E0601">
        <w:trPr>
          <w:trHeight w:val="47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rPr>
                <w:b/>
                <w:bCs/>
              </w:rPr>
              <w:lastRenderedPageBreak/>
              <w:t xml:space="preserve">Vytvorenie koordinačných bodov </w:t>
            </w:r>
            <w:r>
              <w:rPr>
                <w:b/>
                <w:bCs/>
              </w:rPr>
              <w:t xml:space="preserve">platformy v SR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Počet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  <w:jc w:val="center"/>
            </w:pPr>
            <w:r w:rsidRPr="002A2A34">
              <w:t>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Do konca 2025</w:t>
            </w:r>
          </w:p>
        </w:tc>
      </w:tr>
      <w:tr w:rsidR="005E0601" w:rsidRPr="002A2A34" w:rsidTr="005E0601">
        <w:trPr>
          <w:trHeight w:val="72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rPr>
                <w:b/>
                <w:bCs/>
              </w:rPr>
              <w:t>Stretnutia a</w:t>
            </w:r>
            <w:r>
              <w:rPr>
                <w:b/>
                <w:bCs/>
              </w:rPr>
              <w:t xml:space="preserve"> </w:t>
            </w:r>
            <w:r w:rsidRPr="002A2A34">
              <w:rPr>
                <w:b/>
                <w:bCs/>
              </w:rPr>
              <w:t>workshopy s cieľom rozvíjať spoločnú víziu základných zručností 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</w:pPr>
            <w:r w:rsidRPr="002A2A34">
              <w:t>Počet podujatí 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2A2A34" w:rsidP="000D7A15">
            <w:pPr>
              <w:spacing w:after="0" w:line="264" w:lineRule="auto"/>
              <w:contextualSpacing/>
              <w:jc w:val="center"/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2A2A34" w:rsidRPr="002A2A34" w:rsidRDefault="005E0601" w:rsidP="000D7A15">
            <w:pPr>
              <w:spacing w:after="0" w:line="264" w:lineRule="auto"/>
              <w:contextualSpacing/>
            </w:pPr>
            <w:r>
              <w:t xml:space="preserve">Priebežne </w:t>
            </w:r>
          </w:p>
        </w:tc>
      </w:tr>
    </w:tbl>
    <w:p w:rsidR="002560F0" w:rsidRDefault="002560F0" w:rsidP="000D7A15">
      <w:pPr>
        <w:spacing w:after="0" w:line="264" w:lineRule="auto"/>
        <w:contextualSpacing/>
      </w:pPr>
    </w:p>
    <w:p w:rsidR="005E0601" w:rsidRPr="005E0601" w:rsidRDefault="005E0601" w:rsidP="000D7A15">
      <w:pPr>
        <w:spacing w:after="0" w:line="264" w:lineRule="auto"/>
        <w:contextualSpacing/>
        <w:rPr>
          <w:b/>
        </w:rPr>
      </w:pPr>
      <w:r w:rsidRPr="005E0601">
        <w:rPr>
          <w:b/>
        </w:rPr>
        <w:t xml:space="preserve">Organizácia partnerstva </w:t>
      </w:r>
    </w:p>
    <w:p w:rsidR="005E0601" w:rsidRDefault="005E0601" w:rsidP="000D7A15">
      <w:pPr>
        <w:spacing w:after="0" w:line="264" w:lineRule="auto"/>
        <w:contextualSpacing/>
        <w:jc w:val="both"/>
      </w:pPr>
      <w:r>
        <w:t>Pakt pre základné zručnosti v SR inicioval a bude napĺňať Štátny inštitút odborného vzdelávania ako Národný koordinátor vzdelávania dospelých.</w:t>
      </w:r>
    </w:p>
    <w:p w:rsidR="005E0601" w:rsidRDefault="005E0601" w:rsidP="000D7A15">
      <w:pPr>
        <w:spacing w:after="0" w:line="264" w:lineRule="auto"/>
        <w:contextualSpacing/>
        <w:jc w:val="both"/>
      </w:pPr>
      <w:r>
        <w:t xml:space="preserve">Členmi platformy sa môžu stať národné, regionálne a miestne orgány, ktoré riadia, tvoria, alebo ovplyvňujú politiky pre celoživotné vzdelávanie; inštitúcie vzdelávania dospelých, mimovládne organizácie; asociácie, zamestnávatelia, poradenské organizácie a ďalšie organizácie, ak splnia podmienky členstva v Pakte a deklarujú: </w:t>
      </w:r>
    </w:p>
    <w:p w:rsidR="005E0601" w:rsidRDefault="005E0601" w:rsidP="000D7A15">
      <w:pPr>
        <w:pStyle w:val="Odsekzoznamu"/>
        <w:numPr>
          <w:ilvl w:val="0"/>
          <w:numId w:val="15"/>
        </w:numPr>
        <w:spacing w:after="0" w:line="264" w:lineRule="auto"/>
        <w:jc w:val="both"/>
      </w:pPr>
      <w:r>
        <w:t xml:space="preserve">záväzok dodržiavať Chartu Paktu zručností a </w:t>
      </w:r>
    </w:p>
    <w:p w:rsidR="005E0601" w:rsidRDefault="005E0601" w:rsidP="000D7A15">
      <w:pPr>
        <w:pStyle w:val="Odsekzoznamu"/>
        <w:numPr>
          <w:ilvl w:val="0"/>
          <w:numId w:val="15"/>
        </w:numPr>
        <w:spacing w:after="0" w:line="264" w:lineRule="auto"/>
        <w:jc w:val="both"/>
      </w:pPr>
      <w:r>
        <w:t xml:space="preserve">dobrovoľne a aktívne prispievať k cieľom a aktivitám v tomto dokumente. </w:t>
      </w:r>
    </w:p>
    <w:p w:rsidR="005E0601" w:rsidRPr="0026058F" w:rsidRDefault="005E0601" w:rsidP="000D7A15">
      <w:pPr>
        <w:spacing w:after="0" w:line="264" w:lineRule="auto"/>
        <w:contextualSpacing/>
      </w:pPr>
    </w:p>
    <w:sectPr w:rsidR="005E0601" w:rsidRPr="0026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E1" w:rsidRDefault="003C3AE1" w:rsidP="006F48D3">
      <w:pPr>
        <w:spacing w:after="0" w:line="240" w:lineRule="auto"/>
      </w:pPr>
      <w:r>
        <w:separator/>
      </w:r>
    </w:p>
  </w:endnote>
  <w:endnote w:type="continuationSeparator" w:id="0">
    <w:p w:rsidR="003C3AE1" w:rsidRDefault="003C3AE1" w:rsidP="006F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E1" w:rsidRDefault="003C3AE1" w:rsidP="006F48D3">
      <w:pPr>
        <w:spacing w:after="0" w:line="240" w:lineRule="auto"/>
      </w:pPr>
      <w:r>
        <w:separator/>
      </w:r>
    </w:p>
  </w:footnote>
  <w:footnote w:type="continuationSeparator" w:id="0">
    <w:p w:rsidR="003C3AE1" w:rsidRDefault="003C3AE1" w:rsidP="006F48D3">
      <w:pPr>
        <w:spacing w:after="0" w:line="240" w:lineRule="auto"/>
      </w:pPr>
      <w:r>
        <w:continuationSeparator/>
      </w:r>
    </w:p>
  </w:footnote>
  <w:footnote w:id="1">
    <w:p w:rsidR="006F48D3" w:rsidRDefault="006F48D3" w:rsidP="006F48D3">
      <w:pPr>
        <w:pStyle w:val="Textpoznmkypodiarou"/>
      </w:pPr>
      <w:r>
        <w:rPr>
          <w:rStyle w:val="Odkaznapoznmkupodiarou"/>
        </w:rPr>
        <w:footnoteRef/>
      </w:r>
      <w:r>
        <w:t xml:space="preserve"> Národná správa PIAAC Slovensko 2013 </w:t>
      </w:r>
    </w:p>
  </w:footnote>
  <w:footnote w:id="2">
    <w:p w:rsidR="006F48D3" w:rsidRDefault="006F48D3" w:rsidP="006F48D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2860F9">
          <w:rPr>
            <w:rStyle w:val="Hypertextovprepojenie"/>
          </w:rPr>
          <w:t>https://nivam.sk/wp-content/uploads/2024/12/Zaverecna_sprava_PIAAC.pdf</w:t>
        </w:r>
      </w:hyperlink>
      <w:r>
        <w:t xml:space="preserve"> </w:t>
      </w:r>
    </w:p>
  </w:footnote>
  <w:footnote w:id="3">
    <w:p w:rsidR="000B3448" w:rsidRDefault="000B344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2" w:history="1">
        <w:r w:rsidRPr="002860F9">
          <w:rPr>
            <w:rStyle w:val="Hypertextovprepojenie"/>
          </w:rPr>
          <w:t>https://eur-lex.europa.eu/legal-content/SK/TXT/PDF/?uri=CELEX:52019XG0605(01)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265"/>
    <w:multiLevelType w:val="multilevel"/>
    <w:tmpl w:val="362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F1BA5"/>
    <w:multiLevelType w:val="multilevel"/>
    <w:tmpl w:val="8F7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348E8"/>
    <w:multiLevelType w:val="multilevel"/>
    <w:tmpl w:val="5DE0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0150A"/>
    <w:multiLevelType w:val="multilevel"/>
    <w:tmpl w:val="C73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33AE0"/>
    <w:multiLevelType w:val="multilevel"/>
    <w:tmpl w:val="E9C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D27A6"/>
    <w:multiLevelType w:val="hybridMultilevel"/>
    <w:tmpl w:val="867CE48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30E2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D66D6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62D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D061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F67B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22D6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12B3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D480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D5C6F15"/>
    <w:multiLevelType w:val="hybridMultilevel"/>
    <w:tmpl w:val="7CB22C56"/>
    <w:lvl w:ilvl="0" w:tplc="68BA092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4E43BF"/>
    <w:multiLevelType w:val="hybridMultilevel"/>
    <w:tmpl w:val="8A6E3682"/>
    <w:lvl w:ilvl="0" w:tplc="989C3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C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EC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6A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E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0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C8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6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7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6B3D94"/>
    <w:multiLevelType w:val="multilevel"/>
    <w:tmpl w:val="335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54FB1"/>
    <w:multiLevelType w:val="hybridMultilevel"/>
    <w:tmpl w:val="E5FE05B4"/>
    <w:lvl w:ilvl="0" w:tplc="68BA092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660AA"/>
    <w:multiLevelType w:val="multilevel"/>
    <w:tmpl w:val="5874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B010C"/>
    <w:multiLevelType w:val="hybridMultilevel"/>
    <w:tmpl w:val="A4C6B4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4A81"/>
    <w:multiLevelType w:val="hybridMultilevel"/>
    <w:tmpl w:val="FAC640AE"/>
    <w:lvl w:ilvl="0" w:tplc="68BA09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0842"/>
    <w:multiLevelType w:val="hybridMultilevel"/>
    <w:tmpl w:val="E57ED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72089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072C"/>
    <w:multiLevelType w:val="hybridMultilevel"/>
    <w:tmpl w:val="82AEAC4C"/>
    <w:lvl w:ilvl="0" w:tplc="68BA0924">
      <w:start w:val="3"/>
      <w:numFmt w:val="bullet"/>
      <w:lvlText w:val="-"/>
      <w:lvlJc w:val="left"/>
      <w:pPr>
        <w:ind w:left="775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63C141ED"/>
    <w:multiLevelType w:val="hybridMultilevel"/>
    <w:tmpl w:val="DA86E174"/>
    <w:lvl w:ilvl="0" w:tplc="68BA09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15"/>
  </w:num>
  <w:num w:numId="10">
    <w:abstractNumId w:val="13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CD"/>
    <w:rsid w:val="000B3448"/>
    <w:rsid w:val="000D7A15"/>
    <w:rsid w:val="00174826"/>
    <w:rsid w:val="001800DF"/>
    <w:rsid w:val="002525CE"/>
    <w:rsid w:val="002560F0"/>
    <w:rsid w:val="0026058F"/>
    <w:rsid w:val="002A2A34"/>
    <w:rsid w:val="003600C2"/>
    <w:rsid w:val="003C3AE1"/>
    <w:rsid w:val="004B2EED"/>
    <w:rsid w:val="00513D9C"/>
    <w:rsid w:val="005E0601"/>
    <w:rsid w:val="006F48D3"/>
    <w:rsid w:val="007416FA"/>
    <w:rsid w:val="007B230B"/>
    <w:rsid w:val="007F6AEA"/>
    <w:rsid w:val="00880CDF"/>
    <w:rsid w:val="00970739"/>
    <w:rsid w:val="00A871B2"/>
    <w:rsid w:val="00AA63CD"/>
    <w:rsid w:val="00C60180"/>
    <w:rsid w:val="00C72DFE"/>
    <w:rsid w:val="00C85909"/>
    <w:rsid w:val="00F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FCE82-B7CE-461F-BB4C-E7A5BD2C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B2EE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0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0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2EED"/>
    <w:rPr>
      <w:rFonts w:eastAsiaTheme="majorEastAsia" w:cstheme="majorBidi"/>
      <w:b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0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00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ywebov">
    <w:name w:val="Normal (Web)"/>
    <w:basedOn w:val="Normlny"/>
    <w:uiPriority w:val="99"/>
    <w:unhideWhenUsed/>
    <w:rsid w:val="0036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600C2"/>
    <w:rPr>
      <w:b/>
      <w:bCs/>
    </w:rPr>
  </w:style>
  <w:style w:type="character" w:styleId="Zvraznenie">
    <w:name w:val="Emphasis"/>
    <w:basedOn w:val="Predvolenpsmoodseku"/>
    <w:uiPriority w:val="20"/>
    <w:qFormat/>
    <w:rsid w:val="006F48D3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48D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48D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48D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F48D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F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5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SK/TXT/PDF/?uri=CELEX:52019XG0605(01)" TargetMode="External"/><Relationship Id="rId1" Type="http://schemas.openxmlformats.org/officeDocument/2006/relationships/hyperlink" Target="https://nivam.sk/wp-content/uploads/2024/12/Zaverecna_sprava_PIAAC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4252-7D98-42DA-AF05-6B98925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Gállová</dc:creator>
  <cp:keywords/>
  <dc:description/>
  <cp:lastModifiedBy>Bieliková Lucia, Mgr. PhD.</cp:lastModifiedBy>
  <cp:revision>2</cp:revision>
  <dcterms:created xsi:type="dcterms:W3CDTF">2025-02-04T07:24:00Z</dcterms:created>
  <dcterms:modified xsi:type="dcterms:W3CDTF">2025-02-04T07:24:00Z</dcterms:modified>
</cp:coreProperties>
</file>